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099"/>
        <w:gridCol w:w="4200"/>
      </w:tblGrid>
      <w:tr w:rsidR="00AD2065" w:rsidTr="00396C07">
        <w:trPr>
          <w:trHeight w:val="915"/>
        </w:trPr>
        <w:tc>
          <w:tcPr>
            <w:tcW w:w="5644" w:type="dxa"/>
            <w:vAlign w:val="center"/>
          </w:tcPr>
          <w:p w:rsidR="00C943E5" w:rsidRDefault="00817D01" w:rsidP="006231F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2015</w:t>
            </w:r>
            <w:r w:rsidR="00AD2065">
              <w:rPr>
                <w:rFonts w:asciiTheme="majorHAnsi" w:eastAsiaTheme="majorEastAsia" w:hAnsiTheme="majorHAnsi" w:cstheme="majorBidi"/>
                <w:sz w:val="36"/>
                <w:szCs w:val="36"/>
              </w:rPr>
              <w:t xml:space="preserve"> </w:t>
            </w:r>
            <w:r w:rsidR="00FD6636">
              <w:rPr>
                <w:rFonts w:asciiTheme="majorHAnsi" w:eastAsiaTheme="majorEastAsia" w:hAnsiTheme="majorHAnsi" w:cstheme="majorBidi"/>
                <w:sz w:val="36"/>
                <w:szCs w:val="36"/>
              </w:rPr>
              <w:t>Haziran</w:t>
            </w:r>
            <w:r w:rsidR="00AD2065">
              <w:rPr>
                <w:rFonts w:asciiTheme="majorHAnsi" w:eastAsiaTheme="majorEastAsia" w:hAnsiTheme="majorHAnsi" w:cstheme="majorBidi"/>
                <w:sz w:val="36"/>
                <w:szCs w:val="36"/>
              </w:rPr>
              <w:t xml:space="preserve"> </w:t>
            </w:r>
          </w:p>
          <w:p w:rsidR="00AD2065" w:rsidRDefault="00AD2065" w:rsidP="006231F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ENFLASYON RAKAMLARI</w:t>
            </w:r>
          </w:p>
        </w:tc>
        <w:tc>
          <w:tcPr>
            <w:tcW w:w="4678" w:type="dxa"/>
          </w:tcPr>
          <w:p w:rsidR="00AD2065" w:rsidRDefault="00655094" w:rsidP="00B6602D">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3</w:t>
            </w:r>
            <w:r w:rsidR="00C943E5">
              <w:rPr>
                <w:rFonts w:asciiTheme="majorHAnsi" w:eastAsiaTheme="majorEastAsia" w:hAnsiTheme="majorHAnsi" w:cstheme="majorBidi"/>
                <w:bCs/>
                <w:sz w:val="28"/>
                <w:szCs w:val="36"/>
              </w:rPr>
              <w:t xml:space="preserve"> </w:t>
            </w:r>
            <w:r w:rsidR="00B6602D">
              <w:rPr>
                <w:rFonts w:asciiTheme="majorHAnsi" w:eastAsiaTheme="majorEastAsia" w:hAnsiTheme="majorHAnsi" w:cstheme="majorBidi"/>
                <w:bCs/>
                <w:sz w:val="28"/>
                <w:szCs w:val="36"/>
              </w:rPr>
              <w:t>Temmuz</w:t>
            </w:r>
            <w:r w:rsidR="00AD2065">
              <w:rPr>
                <w:rFonts w:asciiTheme="majorHAnsi" w:eastAsiaTheme="majorEastAsia" w:hAnsiTheme="majorHAnsi" w:cstheme="majorBidi"/>
                <w:bCs/>
                <w:sz w:val="28"/>
                <w:szCs w:val="36"/>
              </w:rPr>
              <w:t xml:space="preserve"> 201</w:t>
            </w:r>
            <w:r w:rsidR="00817D01">
              <w:rPr>
                <w:rFonts w:asciiTheme="majorHAnsi" w:eastAsiaTheme="majorEastAsia" w:hAnsiTheme="majorHAnsi" w:cstheme="majorBidi"/>
                <w:bCs/>
                <w:sz w:val="28"/>
                <w:szCs w:val="36"/>
              </w:rPr>
              <w:t>5</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EF4E45" w:rsidRDefault="00B6602D" w:rsidP="00AD2065">
      <w:pPr>
        <w:rPr>
          <w:b/>
        </w:rPr>
      </w:pPr>
      <w:r>
        <w:rPr>
          <w:b/>
        </w:rPr>
        <w:t>Haziran</w:t>
      </w:r>
      <w:r w:rsidR="00773BC6">
        <w:rPr>
          <w:b/>
        </w:rPr>
        <w:t xml:space="preserve"> 2015</w:t>
      </w:r>
      <w:r w:rsidR="00EF4E45" w:rsidRPr="00EF4E45">
        <w:rPr>
          <w:b/>
        </w:rPr>
        <w:t xml:space="preserve"> Tüketici Fiyat Endeksi’ne(TÜFE) ilişkin veriler Türkiye İstat</w:t>
      </w:r>
      <w:r w:rsidR="00445DB0">
        <w:rPr>
          <w:b/>
        </w:rPr>
        <w:t xml:space="preserve">istik Kurumu (TÜİK) tarafından </w:t>
      </w:r>
      <w:r w:rsidR="00655094">
        <w:rPr>
          <w:b/>
        </w:rPr>
        <w:t>3</w:t>
      </w:r>
      <w:r w:rsidR="00EF4E45" w:rsidRPr="00EF4E45">
        <w:rPr>
          <w:b/>
        </w:rPr>
        <w:t xml:space="preserve"> </w:t>
      </w:r>
      <w:r>
        <w:rPr>
          <w:b/>
        </w:rPr>
        <w:t>Temmuz</w:t>
      </w:r>
      <w:r w:rsidR="00817D01">
        <w:rPr>
          <w:b/>
        </w:rPr>
        <w:t xml:space="preserve"> 2015</w:t>
      </w:r>
      <w:r w:rsidR="00EF4E45" w:rsidRPr="00EF4E45">
        <w:rPr>
          <w:b/>
        </w:rPr>
        <w:t xml:space="preserve"> tarihinde yayımlandı.</w:t>
      </w:r>
    </w:p>
    <w:p w:rsidR="00DF5145" w:rsidRPr="003A57CB" w:rsidRDefault="00EF4E45" w:rsidP="00EF4E45">
      <w:pPr>
        <w:rPr>
          <w:sz w:val="14"/>
          <w:szCs w:val="14"/>
        </w:rPr>
      </w:pPr>
      <w:r>
        <w:t>TÜİK tarafından aylık yayımlanan TÜFE, kentlerde yaşayan hanelerin tükettiği mal ve hizmet fiyatlarının zaman içindeki ortalama değişim hakkında bilgi vermektedir.</w:t>
      </w:r>
    </w:p>
    <w:bookmarkStart w:id="0" w:name="_MON_1473601776"/>
    <w:bookmarkEnd w:id="0"/>
    <w:p w:rsidR="000701FD" w:rsidRDefault="00FD6636" w:rsidP="00EF4E45">
      <w:pPr>
        <w:rPr>
          <w:sz w:val="14"/>
          <w:szCs w:val="14"/>
        </w:rPr>
      </w:pPr>
      <w:r w:rsidRPr="00FD6636">
        <w:rPr>
          <w:b/>
          <w:sz w:val="14"/>
          <w:szCs w:val="14"/>
        </w:rPr>
        <w:object w:dxaOrig="7706" w:dyaOrig="4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204pt" o:ole="">
            <v:imagedata r:id="rId7" o:title=""/>
          </v:shape>
          <o:OLEObject Type="Embed" ProgID="Excel.Sheet.12" ShapeID="_x0000_i1025" DrawAspect="Content" ObjectID="_1497426571" r:id="rId8"/>
        </w:object>
      </w:r>
    </w:p>
    <w:p w:rsidR="00C144CC" w:rsidRPr="00BC5F10" w:rsidRDefault="00C144CC" w:rsidP="00C144CC">
      <w:pPr>
        <w:rPr>
          <w:b/>
          <w:sz w:val="16"/>
          <w:szCs w:val="14"/>
        </w:rPr>
      </w:pPr>
      <w:r w:rsidRPr="00BC5F10">
        <w:rPr>
          <w:b/>
          <w:sz w:val="16"/>
          <w:szCs w:val="14"/>
        </w:rPr>
        <w:t>Tablo 1:</w:t>
      </w:r>
      <w:r w:rsidRPr="00BC5F10">
        <w:rPr>
          <w:b/>
          <w:sz w:val="24"/>
        </w:rPr>
        <w:t xml:space="preserve"> </w:t>
      </w:r>
      <w:r w:rsidRPr="00BC5F10">
        <w:rPr>
          <w:b/>
          <w:sz w:val="16"/>
          <w:szCs w:val="14"/>
        </w:rPr>
        <w:t>Ana-Harcama Gruplarına Göre Tüketici Fiyat Endeksi ve Değişim Oranları</w:t>
      </w:r>
    </w:p>
    <w:p w:rsidR="00C144CC" w:rsidRDefault="00C144CC" w:rsidP="00C144CC">
      <w:pPr>
        <w:rPr>
          <w:sz w:val="14"/>
          <w:szCs w:val="14"/>
        </w:rPr>
      </w:pPr>
      <w:r>
        <w:rPr>
          <w:sz w:val="14"/>
          <w:szCs w:val="14"/>
        </w:rPr>
        <w:t>*Bir önceki yılın aynı ayına göre enflasyon değişimi</w:t>
      </w:r>
    </w:p>
    <w:p w:rsidR="00C144CC" w:rsidRDefault="00C144CC" w:rsidP="00C144CC">
      <w:pPr>
        <w:rPr>
          <w:sz w:val="14"/>
          <w:szCs w:val="14"/>
        </w:rPr>
      </w:pPr>
      <w:r>
        <w:rPr>
          <w:sz w:val="14"/>
          <w:szCs w:val="14"/>
        </w:rPr>
        <w:t>**Aynı yılın bir önceki ayına göre enflasyon değişimi</w:t>
      </w:r>
    </w:p>
    <w:p w:rsidR="00C3586E" w:rsidRDefault="00866FDE" w:rsidP="00C144CC">
      <w:pPr>
        <w:jc w:val="both"/>
      </w:pPr>
      <w:r>
        <w:t>Mayıs</w:t>
      </w:r>
      <w:r w:rsidR="00574C38" w:rsidRPr="00C144CC">
        <w:t xml:space="preserve"> ayında Türkiye (TR) Geneli TÜFE endeksi (Tablo 1) bir önceki aya (</w:t>
      </w:r>
      <w:r w:rsidR="00FD6636">
        <w:t>Haziran</w:t>
      </w:r>
      <w:r w:rsidR="00500648">
        <w:t xml:space="preserve"> 2015</w:t>
      </w:r>
      <w:r w:rsidR="00574C38">
        <w:t xml:space="preserve">) göre yüzde </w:t>
      </w:r>
      <w:r w:rsidR="00FD6636">
        <w:t>0,51 (negatif)</w:t>
      </w:r>
      <w:r w:rsidR="006957A2">
        <w:t xml:space="preserve"> </w:t>
      </w:r>
      <w:r w:rsidR="00FD6636">
        <w:t>azalarak 259</w:t>
      </w:r>
      <w:r w:rsidR="00500648">
        <w:t>,</w:t>
      </w:r>
      <w:r w:rsidR="00FD6636">
        <w:t>51</w:t>
      </w:r>
      <w:r w:rsidR="00574C38" w:rsidRPr="00C144CC">
        <w:t xml:space="preserve"> değeri</w:t>
      </w:r>
      <w:r w:rsidR="00FD6636">
        <w:t>ne yükselmiştir</w:t>
      </w:r>
      <w:r w:rsidR="00574C38">
        <w:t xml:space="preserve">. </w:t>
      </w:r>
      <w:r w:rsidR="00574C38" w:rsidRPr="00C144CC">
        <w:t xml:space="preserve">Endeks bir önceki yılın aynı ayına göre yüzde </w:t>
      </w:r>
      <w:r w:rsidR="00FD6636">
        <w:t>7,2</w:t>
      </w:r>
      <w:r w:rsidR="00574C38">
        <w:t xml:space="preserve"> </w:t>
      </w:r>
      <w:r w:rsidR="00574C38" w:rsidRPr="00C144CC">
        <w:t xml:space="preserve">oranında artış göstermiştir. </w:t>
      </w:r>
      <w:r w:rsidR="00FD6636">
        <w:t>Haziran</w:t>
      </w:r>
      <w:r w:rsidR="00E50C57">
        <w:t xml:space="preserve"> (2015</w:t>
      </w:r>
      <w:r w:rsidR="00574C38" w:rsidRPr="00C144CC">
        <w:t xml:space="preserve">) ayında ana harcama grupları itibariyle en yüksek artış </w:t>
      </w:r>
      <w:r w:rsidR="006957A2">
        <w:t xml:space="preserve">yüzde </w:t>
      </w:r>
      <w:r w:rsidR="00FD6636">
        <w:t>2,64</w:t>
      </w:r>
      <w:r w:rsidR="00574C38" w:rsidRPr="00C144CC">
        <w:t xml:space="preserve"> ile</w:t>
      </w:r>
      <w:r w:rsidR="003C5DE5">
        <w:t xml:space="preserve"> </w:t>
      </w:r>
      <w:r w:rsidR="00FD6636">
        <w:t>eğlence ve kültür</w:t>
      </w:r>
      <w:r w:rsidR="00574C38" w:rsidRPr="00C144CC">
        <w:t xml:space="preserve"> grubunda yaşanırken, bunu yüzde </w:t>
      </w:r>
      <w:r w:rsidR="00FD6636">
        <w:t>1.09</w:t>
      </w:r>
      <w:r w:rsidR="006957A2">
        <w:t xml:space="preserve"> artışla </w:t>
      </w:r>
      <w:r w:rsidR="00FD6636">
        <w:t>lokanta ve oteller</w:t>
      </w:r>
      <w:r w:rsidR="006957A2">
        <w:t xml:space="preserve"> </w:t>
      </w:r>
      <w:r w:rsidR="00797EBE">
        <w:t xml:space="preserve">grubu </w:t>
      </w:r>
      <w:r w:rsidR="003E4EC1">
        <w:t>ve</w:t>
      </w:r>
      <w:r w:rsidR="00574C38" w:rsidRPr="00C144CC">
        <w:t xml:space="preserve"> yüzde </w:t>
      </w:r>
      <w:r w:rsidR="00FD6636">
        <w:t>0,79</w:t>
      </w:r>
      <w:r w:rsidR="006957A2" w:rsidRPr="00C144CC">
        <w:t xml:space="preserve"> artışla </w:t>
      </w:r>
      <w:r w:rsidR="00FD6636">
        <w:t>çeşitli mal ve hizmetler</w:t>
      </w:r>
      <w:r w:rsidR="006957A2">
        <w:t xml:space="preserve"> grubu </w:t>
      </w:r>
      <w:r w:rsidR="00574C38" w:rsidRPr="00C144CC">
        <w:t xml:space="preserve">takip etmektedir. </w:t>
      </w:r>
      <w:r w:rsidR="00FD6636">
        <w:t>Öte yandan en yüksek düşüş ise yüzde 2,79</w:t>
      </w:r>
      <w:r w:rsidR="00CA0CAC">
        <w:t xml:space="preserve"> (negatif) ile </w:t>
      </w:r>
      <w:r w:rsidR="006957A2">
        <w:t>gıda ve alkolsüz içecekler</w:t>
      </w:r>
      <w:r w:rsidR="00CA0CAC">
        <w:t xml:space="preserve"> grubu</w:t>
      </w:r>
      <w:r w:rsidR="00FD6636">
        <w:t xml:space="preserve">nda yaşanırken, bunu yüzde 1.32 (negatif) ile giyim ve ayakkabı grubu ve </w:t>
      </w:r>
      <w:r w:rsidR="00560CA6">
        <w:t>yüzde 0.09 (negatif) ile mobilya, ev aletleri ve ev bakım hizmetleri grubu izlemektedir.</w:t>
      </w:r>
    </w:p>
    <w:p w:rsidR="006D41B5" w:rsidRPr="00C144CC" w:rsidRDefault="006D41B5" w:rsidP="00C144CC">
      <w:pPr>
        <w:jc w:val="both"/>
      </w:pPr>
      <w:r w:rsidRPr="00C144CC">
        <w:t xml:space="preserve">Tablo 1’deki veriler ana harcama grupları ve genel endeksler ile bu endekslerin büyüme hızları (enflasyon) konusunda bilgi vermektedir. Ancak ana harcama gruplarının ortalama enflasyon oranına etkisi bu grupların tüketici sepetindeki ağırlıklarına bağlı olacaktır. </w:t>
      </w:r>
    </w:p>
    <w:p w:rsidR="00C144CC" w:rsidRPr="0070186C" w:rsidRDefault="006D41B5" w:rsidP="00C144CC">
      <w:pPr>
        <w:jc w:val="both"/>
        <w:rPr>
          <w:b/>
        </w:rPr>
      </w:pPr>
      <w:r w:rsidRPr="00D2299D">
        <w:t>Ana harcama grup endekslerindeki yüzde artışlar bu harcama gruplarının tüketici sepeti içindeki</w:t>
      </w:r>
      <w:r w:rsidR="00C144CC" w:rsidRPr="00D2299D">
        <w:t xml:space="preserve"> </w:t>
      </w:r>
      <w:r w:rsidRPr="00D2299D">
        <w:t xml:space="preserve">payları ile çarpılarak ortalama (TÜFE </w:t>
      </w:r>
      <w:r w:rsidR="00C144CC" w:rsidRPr="00D2299D">
        <w:t>temelli</w:t>
      </w:r>
      <w:r w:rsidRPr="00D2299D">
        <w:t>) enflasyona etkileri grafikte verilmiştir. Türkiye genelindeki ortalama fiyat artışına en büyük etki (0,</w:t>
      </w:r>
      <w:r w:rsidR="00560CA6">
        <w:t>1</w:t>
      </w:r>
      <w:r w:rsidRPr="00D2299D">
        <w:t xml:space="preserve">) </w:t>
      </w:r>
      <w:r w:rsidR="004615AC">
        <w:t>eğlence ve kültür</w:t>
      </w:r>
      <w:r w:rsidR="00853A88">
        <w:t xml:space="preserve"> </w:t>
      </w:r>
      <w:r w:rsidR="00113AD5">
        <w:t>grubundan</w:t>
      </w:r>
      <w:r w:rsidRPr="00D2299D">
        <w:t xml:space="preserve"> gelmektedir.</w:t>
      </w:r>
      <w:r w:rsidR="00D86CAD">
        <w:t xml:space="preserve"> </w:t>
      </w:r>
      <w:r w:rsidR="004615AC">
        <w:t>G</w:t>
      </w:r>
      <w:r w:rsidR="006231F0">
        <w:t>ıda ve alkolsüz içecekler</w:t>
      </w:r>
      <w:r w:rsidR="004615AC">
        <w:t xml:space="preserve">in </w:t>
      </w:r>
      <w:r w:rsidR="004615AC">
        <w:lastRenderedPageBreak/>
        <w:t>etkisi (0,69</w:t>
      </w:r>
      <w:r w:rsidR="00D86CAD">
        <w:t>)</w:t>
      </w:r>
      <w:r w:rsidR="00D86CAD" w:rsidRPr="00D2299D">
        <w:t xml:space="preserve"> negatif</w:t>
      </w:r>
      <w:r w:rsidR="004615AC">
        <w:t xml:space="preserve">, ev eşyası grubu ve giyim ve ayakkabı grubunun da (0.01) negatif </w:t>
      </w:r>
      <w:r w:rsidR="00D86CAD" w:rsidRPr="00D2299D">
        <w:t>olarak gerçekleşmiştir</w:t>
      </w:r>
      <w:r w:rsidR="00D86CAD" w:rsidRPr="0070186C">
        <w:rPr>
          <w:b/>
        </w:rPr>
        <w:t>.</w:t>
      </w:r>
    </w:p>
    <w:p w:rsidR="00C144CC" w:rsidRPr="00C144CC" w:rsidRDefault="00CA0CAC" w:rsidP="00C144CC">
      <w:pPr>
        <w:jc w:val="both"/>
      </w:pPr>
      <w:r>
        <w:t xml:space="preserve">TÜFE </w:t>
      </w:r>
      <w:r w:rsidR="006D41B5" w:rsidRPr="00C144CC">
        <w:t>endeksleri daha çok öncü olmayan (gecikmeli) bir değişken olduğundan geleceğe ilişkin tahmin konusunda önemli bilgiler sağlamasa da, işlenmemiş</w:t>
      </w:r>
      <w:r w:rsidR="00C144CC">
        <w:t xml:space="preserve"> </w:t>
      </w:r>
      <w:r w:rsidR="006D41B5" w:rsidRPr="00C144CC">
        <w:t>gıda ve enerji hariç endeksindeki yüzde</w:t>
      </w:r>
      <w:r w:rsidR="004615AC">
        <w:t xml:space="preserve"> 0,34</w:t>
      </w:r>
      <w:r w:rsidR="006D41B5" w:rsidRPr="00C144CC">
        <w:t xml:space="preserve"> artış</w:t>
      </w:r>
      <w:r w:rsidR="00C144CC">
        <w:t xml:space="preserve"> </w:t>
      </w:r>
      <w:r w:rsidR="006D41B5" w:rsidRPr="00C144CC">
        <w:t>bir anlamda çekirdek enflasyon olarak değerlendirilebilir ve enflasyonun eğilimi konusunda ipuçları verebilir.</w:t>
      </w:r>
    </w:p>
    <w:p w:rsidR="006D41B5" w:rsidRPr="00C144CC" w:rsidRDefault="008D1077" w:rsidP="00C144CC">
      <w:pPr>
        <w:jc w:val="both"/>
      </w:pPr>
      <w:r>
        <w:t>TÜİ</w:t>
      </w:r>
      <w:r w:rsidR="00C21D8B">
        <w:t>K tarafından hesaplanan ö</w:t>
      </w:r>
      <w:r w:rsidR="006D41B5" w:rsidRPr="00C144CC">
        <w:t>zel kapsamlı TÜFE göstergelerinden işlenmemiş</w:t>
      </w:r>
      <w:r w:rsidR="00C144CC">
        <w:t xml:space="preserve"> </w:t>
      </w:r>
      <w:r w:rsidR="006D41B5" w:rsidRPr="00C144CC">
        <w:t>gıda ve enerji hariç TÜFE end</w:t>
      </w:r>
      <w:r>
        <w:t>eks</w:t>
      </w:r>
      <w:r w:rsidR="00D86CAD">
        <w:t>i bir önceki aya göre yüzde</w:t>
      </w:r>
      <w:r w:rsidR="004615AC">
        <w:t xml:space="preserve"> 0,34</w:t>
      </w:r>
      <w:r w:rsidR="006D41B5" w:rsidRPr="00C144CC">
        <w:t xml:space="preserve"> oranında artmıştır. Bu endeks son 12</w:t>
      </w:r>
      <w:r w:rsidR="004615AC">
        <w:t xml:space="preserve"> ayda ortalama olarak yüzde 8,69 oranında artarak endeks 247,97</w:t>
      </w:r>
      <w:r w:rsidR="006D41B5" w:rsidRPr="00C144CC">
        <w:t xml:space="preserve"> değer</w:t>
      </w:r>
      <w:r>
        <w:t>i</w:t>
      </w:r>
      <w:r w:rsidR="00CC7D5F">
        <w:t>ni</w:t>
      </w:r>
      <w:r w:rsidR="0070700B">
        <w:t xml:space="preserve"> almı</w:t>
      </w:r>
      <w:r w:rsidR="00C97D83">
        <w:t>ştır. Genel endeks y</w:t>
      </w:r>
      <w:r w:rsidR="00D86CAD">
        <w:t xml:space="preserve">üzde </w:t>
      </w:r>
      <w:r w:rsidR="004615AC">
        <w:t>0,51</w:t>
      </w:r>
      <w:r w:rsidR="006D41B5" w:rsidRPr="00C144CC">
        <w:t xml:space="preserve"> </w:t>
      </w:r>
      <w:r w:rsidR="004615AC">
        <w:t>düşerken</w:t>
      </w:r>
      <w:r w:rsidR="006D41B5" w:rsidRPr="00C144CC">
        <w:t xml:space="preserve"> işlenmemiş</w:t>
      </w:r>
      <w:r w:rsidR="00C144CC">
        <w:t xml:space="preserve"> </w:t>
      </w:r>
      <w:r w:rsidR="006D41B5" w:rsidRPr="00C144CC">
        <w:t xml:space="preserve">gıda ve enerji hariç </w:t>
      </w:r>
      <w:r>
        <w:t>(öz</w:t>
      </w:r>
      <w:r w:rsidR="00026001">
        <w:t>el kapsamlı) endeksin</w:t>
      </w:r>
      <w:r w:rsidR="004615AC">
        <w:t xml:space="preserve"> yüzde 0,34</w:t>
      </w:r>
      <w:r w:rsidR="006D41B5" w:rsidRPr="00C144CC">
        <w:t xml:space="preserve"> oranında artması</w:t>
      </w:r>
      <w:r w:rsidR="005C53F8">
        <w:t>;</w:t>
      </w:r>
      <w:r w:rsidR="006D41B5" w:rsidRPr="00C144CC">
        <w:t xml:space="preserve"> enflasyonun</w:t>
      </w:r>
      <w:r w:rsidR="0070186C">
        <w:t xml:space="preserve"> bu ay yükseliş</w:t>
      </w:r>
      <w:r w:rsidR="006D41B5" w:rsidRPr="006020BD">
        <w:t xml:space="preserve"> eğiliminde </w:t>
      </w:r>
      <w:r w:rsidR="00026001">
        <w:t>olduğuna</w:t>
      </w:r>
      <w:r w:rsidR="006D41B5" w:rsidRPr="006020BD">
        <w:t xml:space="preserve"> ilişkin bir ipucu olarak değerlendirilebilir</w:t>
      </w:r>
      <w:r w:rsidR="006D41B5" w:rsidRPr="00C144CC">
        <w:t xml:space="preserve">. </w:t>
      </w:r>
      <w:r w:rsidR="0070186C">
        <w:t>İ</w:t>
      </w:r>
      <w:r w:rsidRPr="00C144CC">
        <w:t>şlenmemiş</w:t>
      </w:r>
      <w:r>
        <w:t xml:space="preserve"> </w:t>
      </w:r>
      <w:r w:rsidRPr="00C144CC">
        <w:t xml:space="preserve">gıda ve enerji hariç </w:t>
      </w:r>
      <w:r>
        <w:t>(özel kapsamlı)</w:t>
      </w:r>
      <w:r w:rsidR="006D41B5" w:rsidRPr="00C144CC">
        <w:t xml:space="preserve"> endeksin bir önceki yılın aynı ayına göre artış</w:t>
      </w:r>
      <w:r w:rsidR="00C144CC">
        <w:t xml:space="preserve"> </w:t>
      </w:r>
      <w:r w:rsidR="006D41B5" w:rsidRPr="00C144CC">
        <w:t>oranı yü</w:t>
      </w:r>
      <w:r>
        <w:t>zde</w:t>
      </w:r>
      <w:r w:rsidR="004615AC">
        <w:t xml:space="preserve"> 7,65</w:t>
      </w:r>
      <w:r w:rsidR="00C144CC">
        <w:t xml:space="preserve"> olarak gerçekleşmiştir.</w:t>
      </w:r>
    </w:p>
    <w:p w:rsidR="006D41B5" w:rsidRPr="003A57CB" w:rsidRDefault="00526414" w:rsidP="00342B2E">
      <w:pPr>
        <w:tabs>
          <w:tab w:val="center" w:pos="4703"/>
        </w:tabs>
        <w:rPr>
          <w:sz w:val="14"/>
          <w:szCs w:val="14"/>
        </w:rPr>
      </w:pPr>
      <w:r w:rsidRPr="00342B2E">
        <w:rPr>
          <w:noProof/>
          <w:sz w:val="14"/>
          <w:szCs w:val="14"/>
        </w:rPr>
        <w:drawing>
          <wp:inline distT="0" distB="0" distL="0" distR="0">
            <wp:extent cx="6076950" cy="2476500"/>
            <wp:effectExtent l="0" t="0" r="0" b="0"/>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615AC" w:rsidRDefault="000701FD" w:rsidP="00342B2E">
      <w:pPr>
        <w:rPr>
          <w:sz w:val="14"/>
          <w:szCs w:val="14"/>
        </w:rPr>
      </w:pPr>
      <w:r w:rsidRPr="003A57CB">
        <w:rPr>
          <w:sz w:val="14"/>
          <w:szCs w:val="14"/>
        </w:rPr>
        <w:tab/>
      </w:r>
      <w:r w:rsidRPr="003A57CB">
        <w:rPr>
          <w:sz w:val="14"/>
          <w:szCs w:val="14"/>
        </w:rPr>
        <w:tab/>
      </w:r>
      <w:r w:rsidRPr="003A57CB">
        <w:rPr>
          <w:sz w:val="14"/>
          <w:szCs w:val="14"/>
        </w:rPr>
        <w:tab/>
      </w:r>
      <w:r w:rsidRPr="003A57CB">
        <w:rPr>
          <w:sz w:val="14"/>
          <w:szCs w:val="14"/>
        </w:rPr>
        <w:tab/>
      </w:r>
      <w:r w:rsidR="00C144CC" w:rsidRPr="006020BD">
        <w:rPr>
          <w:b/>
          <w:sz w:val="16"/>
          <w:szCs w:val="14"/>
        </w:rPr>
        <w:t>Tablo 2: 2004-201</w:t>
      </w:r>
      <w:r w:rsidR="00526414">
        <w:rPr>
          <w:b/>
          <w:sz w:val="16"/>
          <w:szCs w:val="14"/>
        </w:rPr>
        <w:t>4</w:t>
      </w:r>
      <w:r w:rsidR="00C144CC" w:rsidRPr="006020BD">
        <w:rPr>
          <w:b/>
          <w:sz w:val="16"/>
          <w:szCs w:val="14"/>
        </w:rPr>
        <w:t xml:space="preserve"> zaman aralığında enflasyon değişim</w:t>
      </w:r>
      <w:r w:rsidR="00C144CC" w:rsidRPr="006020BD">
        <w:rPr>
          <w:b/>
          <w:sz w:val="16"/>
          <w:szCs w:val="14"/>
        </w:rPr>
        <w:tab/>
      </w:r>
      <w:r w:rsidR="00C144CC" w:rsidRPr="00C144CC">
        <w:rPr>
          <w:b/>
          <w:sz w:val="14"/>
          <w:szCs w:val="14"/>
        </w:rPr>
        <w:tab/>
      </w:r>
      <w:r w:rsidR="00C144CC" w:rsidRPr="00C144CC">
        <w:rPr>
          <w:b/>
          <w:sz w:val="14"/>
          <w:szCs w:val="14"/>
        </w:rPr>
        <w:tab/>
      </w:r>
      <w:r w:rsidRPr="003A57CB">
        <w:rPr>
          <w:sz w:val="14"/>
          <w:szCs w:val="14"/>
        </w:rPr>
        <w:tab/>
      </w:r>
    </w:p>
    <w:p w:rsidR="00EF4E45" w:rsidRPr="003A57CB" w:rsidRDefault="00342B2E" w:rsidP="00342B2E">
      <w:pPr>
        <w:rPr>
          <w:sz w:val="14"/>
          <w:szCs w:val="14"/>
        </w:rPr>
      </w:pPr>
      <w:r w:rsidRPr="00342B2E">
        <w:rPr>
          <w:sz w:val="14"/>
          <w:szCs w:val="14"/>
        </w:rPr>
        <w:drawing>
          <wp:inline distT="0" distB="0" distL="0" distR="0">
            <wp:extent cx="6162675" cy="2609850"/>
            <wp:effectExtent l="0" t="0" r="0" b="0"/>
            <wp:docPr id="9"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0701FD" w:rsidRPr="003A57CB">
        <w:rPr>
          <w:sz w:val="14"/>
          <w:szCs w:val="14"/>
        </w:rPr>
        <w:tab/>
      </w:r>
      <w:r>
        <w:rPr>
          <w:sz w:val="14"/>
          <w:szCs w:val="14"/>
        </w:rPr>
        <w:tab/>
      </w:r>
      <w:r>
        <w:rPr>
          <w:sz w:val="14"/>
          <w:szCs w:val="14"/>
        </w:rPr>
        <w:tab/>
      </w:r>
      <w:r>
        <w:rPr>
          <w:sz w:val="14"/>
          <w:szCs w:val="14"/>
        </w:rPr>
        <w:tab/>
      </w:r>
      <w:r w:rsidRPr="006020BD">
        <w:rPr>
          <w:b/>
          <w:sz w:val="16"/>
          <w:szCs w:val="14"/>
        </w:rPr>
        <w:t xml:space="preserve">Tablo 3: </w:t>
      </w:r>
      <w:r>
        <w:rPr>
          <w:b/>
          <w:sz w:val="16"/>
          <w:szCs w:val="14"/>
        </w:rPr>
        <w:t>B</w:t>
      </w:r>
      <w:r w:rsidRPr="006020BD">
        <w:rPr>
          <w:b/>
          <w:sz w:val="16"/>
          <w:szCs w:val="14"/>
        </w:rPr>
        <w:t>ir önceki aya göre (aylık)</w:t>
      </w:r>
      <w:r>
        <w:rPr>
          <w:b/>
          <w:sz w:val="16"/>
          <w:szCs w:val="14"/>
        </w:rPr>
        <w:t xml:space="preserve"> 12 aylık</w:t>
      </w:r>
      <w:r w:rsidRPr="006020BD">
        <w:rPr>
          <w:b/>
          <w:sz w:val="16"/>
          <w:szCs w:val="14"/>
        </w:rPr>
        <w:t xml:space="preserve"> enflasyon verileri</w:t>
      </w:r>
    </w:p>
    <w:sectPr w:rsidR="00EF4E45" w:rsidRPr="003A57CB" w:rsidSect="00432DF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23355"/>
    <w:rsid w:val="00026001"/>
    <w:rsid w:val="000701FD"/>
    <w:rsid w:val="000D18BE"/>
    <w:rsid w:val="00113AD5"/>
    <w:rsid w:val="001E0DF3"/>
    <w:rsid w:val="001E5A63"/>
    <w:rsid w:val="001F7633"/>
    <w:rsid w:val="00212CD0"/>
    <w:rsid w:val="002142B6"/>
    <w:rsid w:val="0022013C"/>
    <w:rsid w:val="00233BD5"/>
    <w:rsid w:val="002D3E19"/>
    <w:rsid w:val="00342B2E"/>
    <w:rsid w:val="00357954"/>
    <w:rsid w:val="003641B3"/>
    <w:rsid w:val="00381AE7"/>
    <w:rsid w:val="00386AAB"/>
    <w:rsid w:val="003A57CB"/>
    <w:rsid w:val="003C5DE5"/>
    <w:rsid w:val="003D428A"/>
    <w:rsid w:val="003E4EC1"/>
    <w:rsid w:val="00432DF5"/>
    <w:rsid w:val="00445DB0"/>
    <w:rsid w:val="004615AC"/>
    <w:rsid w:val="0046567B"/>
    <w:rsid w:val="00474FF2"/>
    <w:rsid w:val="004C636E"/>
    <w:rsid w:val="00500648"/>
    <w:rsid w:val="00510282"/>
    <w:rsid w:val="00526414"/>
    <w:rsid w:val="005405F5"/>
    <w:rsid w:val="00560CA6"/>
    <w:rsid w:val="00574C38"/>
    <w:rsid w:val="005C53F8"/>
    <w:rsid w:val="005D1B77"/>
    <w:rsid w:val="006020BD"/>
    <w:rsid w:val="006231F0"/>
    <w:rsid w:val="006241BA"/>
    <w:rsid w:val="00655094"/>
    <w:rsid w:val="00676DBB"/>
    <w:rsid w:val="006957A2"/>
    <w:rsid w:val="006C6552"/>
    <w:rsid w:val="006D41B5"/>
    <w:rsid w:val="0070186C"/>
    <w:rsid w:val="0070700B"/>
    <w:rsid w:val="00714580"/>
    <w:rsid w:val="00717A88"/>
    <w:rsid w:val="00731B2B"/>
    <w:rsid w:val="007441EB"/>
    <w:rsid w:val="00755EFC"/>
    <w:rsid w:val="007736BE"/>
    <w:rsid w:val="00773BC6"/>
    <w:rsid w:val="00797EBE"/>
    <w:rsid w:val="00817D01"/>
    <w:rsid w:val="008269E0"/>
    <w:rsid w:val="00853A88"/>
    <w:rsid w:val="00866FDE"/>
    <w:rsid w:val="008C2C15"/>
    <w:rsid w:val="008D1077"/>
    <w:rsid w:val="009869AF"/>
    <w:rsid w:val="009F54F1"/>
    <w:rsid w:val="00A347FE"/>
    <w:rsid w:val="00A4796F"/>
    <w:rsid w:val="00A77365"/>
    <w:rsid w:val="00AD2065"/>
    <w:rsid w:val="00B40175"/>
    <w:rsid w:val="00B6602D"/>
    <w:rsid w:val="00B80CFF"/>
    <w:rsid w:val="00BC294E"/>
    <w:rsid w:val="00BC5F10"/>
    <w:rsid w:val="00BD2645"/>
    <w:rsid w:val="00C05F0D"/>
    <w:rsid w:val="00C144CC"/>
    <w:rsid w:val="00C21D8B"/>
    <w:rsid w:val="00C23FFF"/>
    <w:rsid w:val="00C3586E"/>
    <w:rsid w:val="00C943E5"/>
    <w:rsid w:val="00C97D83"/>
    <w:rsid w:val="00CA0CAC"/>
    <w:rsid w:val="00CC7D5F"/>
    <w:rsid w:val="00D2299D"/>
    <w:rsid w:val="00D23355"/>
    <w:rsid w:val="00D500F0"/>
    <w:rsid w:val="00D86CAD"/>
    <w:rsid w:val="00DC5FDC"/>
    <w:rsid w:val="00DC6D72"/>
    <w:rsid w:val="00DE7934"/>
    <w:rsid w:val="00E50C57"/>
    <w:rsid w:val="00E65D11"/>
    <w:rsid w:val="00EC79B6"/>
    <w:rsid w:val="00EF4E45"/>
    <w:rsid w:val="00F6200C"/>
    <w:rsid w:val="00FD6636"/>
    <w:rsid w:val="00FE79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_al__ma_Sayfas_1.xlsx"/><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L2\Desktop\Yeni%20Microsoft%20Office%20Excel%20&#199;al&#305;&#351;ma%20Sayfas&#3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L2\Downloads\-196253431284418587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sz="1600"/>
            </a:pPr>
            <a:r>
              <a:rPr lang="en-US" sz="1600"/>
              <a:t>2004-2014 Yıllık Enflasyon (%)</a:t>
            </a:r>
          </a:p>
        </c:rich>
      </c:tx>
      <c:layout>
        <c:manualLayout>
          <c:xMode val="edge"/>
          <c:yMode val="edge"/>
          <c:x val="0.33140275960802712"/>
          <c:y val="2.7777912376337584E-2"/>
        </c:manualLayout>
      </c:layout>
    </c:title>
    <c:plotArea>
      <c:layout/>
      <c:lineChart>
        <c:grouping val="standard"/>
        <c:ser>
          <c:idx val="0"/>
          <c:order val="0"/>
          <c:tx>
            <c:strRef>
              <c:f>Sayfa1!$D$8</c:f>
              <c:strCache>
                <c:ptCount val="1"/>
                <c:pt idx="0">
                  <c:v>Yıllık Enflasyon</c:v>
                </c:pt>
              </c:strCache>
            </c:strRef>
          </c:tx>
          <c:marker>
            <c:symbol val="none"/>
          </c:marker>
          <c:cat>
            <c:numRef>
              <c:f>Sayfa1!$E$7:$O$7</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Sayfa1!$E$8:$O$8</c:f>
              <c:numCache>
                <c:formatCode>0.00</c:formatCode>
                <c:ptCount val="11"/>
                <c:pt idx="0">
                  <c:v>9.3500000000000068</c:v>
                </c:pt>
                <c:pt idx="1">
                  <c:v>7.72</c:v>
                </c:pt>
                <c:pt idx="2">
                  <c:v>9.65</c:v>
                </c:pt>
                <c:pt idx="3">
                  <c:v>8.39</c:v>
                </c:pt>
                <c:pt idx="4">
                  <c:v>10.06</c:v>
                </c:pt>
                <c:pt idx="5">
                  <c:v>6.53</c:v>
                </c:pt>
                <c:pt idx="6">
                  <c:v>6.4</c:v>
                </c:pt>
                <c:pt idx="7">
                  <c:v>10.450000000000006</c:v>
                </c:pt>
                <c:pt idx="8">
                  <c:v>6.1599999999999975</c:v>
                </c:pt>
                <c:pt idx="9">
                  <c:v>7.4</c:v>
                </c:pt>
                <c:pt idx="10">
                  <c:v>8.17</c:v>
                </c:pt>
              </c:numCache>
            </c:numRef>
          </c:val>
        </c:ser>
        <c:marker val="1"/>
        <c:axId val="64264064"/>
        <c:axId val="64265600"/>
      </c:lineChart>
      <c:catAx>
        <c:axId val="64264064"/>
        <c:scaling>
          <c:orientation val="minMax"/>
        </c:scaling>
        <c:axPos val="b"/>
        <c:numFmt formatCode="General" sourceLinked="1"/>
        <c:majorTickMark val="none"/>
        <c:tickLblPos val="nextTo"/>
        <c:crossAx val="64265600"/>
        <c:crosses val="autoZero"/>
        <c:auto val="1"/>
        <c:lblAlgn val="ctr"/>
        <c:lblOffset val="100"/>
      </c:catAx>
      <c:valAx>
        <c:axId val="64265600"/>
        <c:scaling>
          <c:orientation val="minMax"/>
        </c:scaling>
        <c:axPos val="l"/>
        <c:majorGridlines/>
        <c:numFmt formatCode="0.00" sourceLinked="1"/>
        <c:majorTickMark val="none"/>
        <c:tickLblPos val="nextTo"/>
        <c:txPr>
          <a:bodyPr/>
          <a:lstStyle/>
          <a:p>
            <a:pPr>
              <a:defRPr b="1"/>
            </a:pPr>
            <a:endParaRPr lang="tr-TR"/>
          </a:p>
        </c:txPr>
        <c:crossAx val="64264064"/>
        <c:crosses val="autoZero"/>
        <c:crossBetween val="between"/>
      </c:valAx>
      <c:dTable>
        <c:showHorzBorder val="1"/>
        <c:showVertBorder val="1"/>
        <c:showOutline val="1"/>
        <c:showKeys val="1"/>
        <c:txPr>
          <a:bodyPr/>
          <a:lstStyle/>
          <a:p>
            <a:pPr rtl="0">
              <a:defRPr b="1"/>
            </a:pPr>
            <a:endParaRPr lang="tr-TR"/>
          </a:p>
        </c:txPr>
      </c:dTable>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sz="1600"/>
              <a:t>Son 12 </a:t>
            </a:r>
            <a:r>
              <a:rPr lang="en-US" sz="1600"/>
              <a:t>Aylık Enflasyon Değişimi</a:t>
            </a:r>
            <a:r>
              <a:rPr lang="tr-TR" sz="1600"/>
              <a:t> (%)</a:t>
            </a:r>
            <a:endParaRPr lang="en-US" sz="1600"/>
          </a:p>
        </c:rich>
      </c:tx>
      <c:layout>
        <c:manualLayout>
          <c:xMode val="edge"/>
          <c:yMode val="edge"/>
          <c:x val="0.30435338550223734"/>
          <c:y val="3.8929440389294405E-2"/>
        </c:manualLayout>
      </c:layout>
    </c:title>
    <c:plotArea>
      <c:layout/>
      <c:lineChart>
        <c:grouping val="standard"/>
        <c:ser>
          <c:idx val="0"/>
          <c:order val="0"/>
          <c:tx>
            <c:strRef>
              <c:f>Sayfa1!$A$4</c:f>
              <c:strCache>
                <c:ptCount val="1"/>
                <c:pt idx="0">
                  <c:v>Aylık Enflasyon Değişimi</c:v>
                </c:pt>
              </c:strCache>
            </c:strRef>
          </c:tx>
          <c:marker>
            <c:symbol val="none"/>
          </c:marker>
          <c:cat>
            <c:strRef>
              <c:f>Sayfa1!$B$3:$M$3</c:f>
              <c:strCache>
                <c:ptCount val="12"/>
                <c:pt idx="0">
                  <c:v>Temmuz</c:v>
                </c:pt>
                <c:pt idx="1">
                  <c:v>Ağustos</c:v>
                </c:pt>
                <c:pt idx="2">
                  <c:v>Eylül</c:v>
                </c:pt>
                <c:pt idx="3">
                  <c:v>Ekim</c:v>
                </c:pt>
                <c:pt idx="4">
                  <c:v>Kasım</c:v>
                </c:pt>
                <c:pt idx="5">
                  <c:v>Aralık</c:v>
                </c:pt>
                <c:pt idx="6">
                  <c:v>Ocak</c:v>
                </c:pt>
                <c:pt idx="7">
                  <c:v>Şubat</c:v>
                </c:pt>
                <c:pt idx="8">
                  <c:v>Mart</c:v>
                </c:pt>
                <c:pt idx="9">
                  <c:v>Nisan</c:v>
                </c:pt>
                <c:pt idx="10">
                  <c:v>Mayıs</c:v>
                </c:pt>
                <c:pt idx="11">
                  <c:v>Haziran</c:v>
                </c:pt>
              </c:strCache>
            </c:strRef>
          </c:cat>
          <c:val>
            <c:numRef>
              <c:f>Sayfa1!$B$4:$M$4</c:f>
              <c:numCache>
                <c:formatCode>General</c:formatCode>
                <c:ptCount val="12"/>
                <c:pt idx="0">
                  <c:v>0.45</c:v>
                </c:pt>
                <c:pt idx="1">
                  <c:v>9.0000000000000011E-2</c:v>
                </c:pt>
                <c:pt idx="2">
                  <c:v>0.14000000000000001</c:v>
                </c:pt>
                <c:pt idx="3">
                  <c:v>1.9000000000000001</c:v>
                </c:pt>
                <c:pt idx="4">
                  <c:v>0.18000000000000002</c:v>
                </c:pt>
                <c:pt idx="5">
                  <c:v>-0.44</c:v>
                </c:pt>
                <c:pt idx="6">
                  <c:v>1.1000000000000001</c:v>
                </c:pt>
                <c:pt idx="7">
                  <c:v>0.70000000000000007</c:v>
                </c:pt>
                <c:pt idx="8">
                  <c:v>1.1900000000000002</c:v>
                </c:pt>
                <c:pt idx="9">
                  <c:v>1.6300000000000001</c:v>
                </c:pt>
                <c:pt idx="10">
                  <c:v>0.56000000000000005</c:v>
                </c:pt>
                <c:pt idx="11">
                  <c:v>-0.51</c:v>
                </c:pt>
              </c:numCache>
            </c:numRef>
          </c:val>
        </c:ser>
        <c:marker val="1"/>
        <c:axId val="66131456"/>
        <c:axId val="66160512"/>
      </c:lineChart>
      <c:catAx>
        <c:axId val="66131456"/>
        <c:scaling>
          <c:orientation val="minMax"/>
        </c:scaling>
        <c:axPos val="b"/>
        <c:majorTickMark val="none"/>
        <c:tickLblPos val="nextTo"/>
        <c:crossAx val="66160512"/>
        <c:crosses val="autoZero"/>
        <c:auto val="1"/>
        <c:lblAlgn val="ctr"/>
        <c:lblOffset val="100"/>
      </c:catAx>
      <c:valAx>
        <c:axId val="66160512"/>
        <c:scaling>
          <c:orientation val="minMax"/>
        </c:scaling>
        <c:axPos val="l"/>
        <c:majorGridlines/>
        <c:numFmt formatCode="General" sourceLinked="1"/>
        <c:majorTickMark val="none"/>
        <c:tickLblPos val="nextTo"/>
        <c:txPr>
          <a:bodyPr/>
          <a:lstStyle/>
          <a:p>
            <a:pPr>
              <a:defRPr b="1"/>
            </a:pPr>
            <a:endParaRPr lang="tr-TR"/>
          </a:p>
        </c:txPr>
        <c:crossAx val="66131456"/>
        <c:crosses val="autoZero"/>
        <c:crossBetween val="between"/>
      </c:valAx>
      <c:dTable>
        <c:showHorzBorder val="1"/>
        <c:showVertBorder val="1"/>
        <c:showOutline val="1"/>
        <c:showKeys val="1"/>
        <c:txPr>
          <a:bodyPr/>
          <a:lstStyle/>
          <a:p>
            <a:pPr rtl="0">
              <a:defRPr b="1"/>
            </a:pPr>
            <a:endParaRPr lang="tr-TR"/>
          </a:p>
        </c:txPr>
      </c:dTable>
    </c:plotArea>
    <c:plotVisOnly val="1"/>
  </c:chart>
  <c:spPr>
    <a:ln>
      <a:noFill/>
    </a:ln>
  </c:sp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9AF9F-7011-4731-AAC2-AD2BA5B2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456</Words>
  <Characters>2602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ToshibaL2</cp:lastModifiedBy>
  <cp:revision>5</cp:revision>
  <dcterms:created xsi:type="dcterms:W3CDTF">2015-06-05T13:16:00Z</dcterms:created>
  <dcterms:modified xsi:type="dcterms:W3CDTF">2015-07-03T08:03:00Z</dcterms:modified>
</cp:coreProperties>
</file>